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59CE98">
      <w:pPr>
        <w:pageBreakBefore w:val="0"/>
        <w:kinsoku/>
        <w:overflowPunct/>
        <w:bidi w:val="0"/>
        <w:spacing w:line="360" w:lineRule="auto"/>
        <w:jc w:val="center"/>
        <w:textAlignment w:val="auto"/>
        <w:outlineLvl w:val="1"/>
        <w:rPr>
          <w:rFonts w:ascii="宋体" w:hAnsi="宋体" w:eastAsia="宋体" w:cs="宋体"/>
          <w:color w:val="auto"/>
          <w:highlight w:val="none"/>
        </w:rPr>
      </w:pPr>
      <w:bookmarkStart w:id="0" w:name="_Toc13057401"/>
      <w:bookmarkStart w:id="1" w:name="_Toc501460800"/>
      <w:r>
        <w:rPr>
          <w:rFonts w:hint="eastAsia" w:ascii="宋体" w:hAnsi="宋体" w:eastAsia="宋体" w:cs="宋体"/>
          <w:b/>
          <w:color w:val="auto"/>
          <w:sz w:val="32"/>
          <w:szCs w:val="20"/>
          <w:highlight w:val="none"/>
        </w:rPr>
        <w:t>九、投标设备技术性能指标的详细描述</w:t>
      </w:r>
      <w:bookmarkEnd w:id="0"/>
      <w:bookmarkEnd w:id="1"/>
    </w:p>
    <w:p w14:paraId="673A7BF1">
      <w:pPr>
        <w:keepNext/>
        <w:keepLines/>
        <w:pageBreakBefore w:val="0"/>
        <w:widowControl w:val="0"/>
        <w:kinsoku/>
        <w:overflowPunct/>
        <w:bidi w:val="0"/>
        <w:spacing w:line="360" w:lineRule="auto"/>
        <w:jc w:val="center"/>
        <w:textAlignment w:val="auto"/>
        <w:outlineLvl w:val="1"/>
        <w:rPr>
          <w:rFonts w:ascii="宋体" w:hAnsi="宋体" w:eastAsia="宋体" w:cs="宋体"/>
          <w:b/>
          <w:color w:val="auto"/>
          <w:kern w:val="2"/>
          <w:sz w:val="32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auto"/>
          <w:kern w:val="2"/>
          <w:sz w:val="21"/>
          <w:szCs w:val="21"/>
          <w:highlight w:val="none"/>
          <w:lang w:val="en-US" w:eastAsia="zh-CN" w:bidi="ar-SA"/>
        </w:rPr>
        <w:t>由投标人自行编写</w:t>
      </w:r>
      <w:r>
        <w:rPr>
          <w:rFonts w:hint="eastAsia" w:ascii="宋体" w:hAnsi="宋体" w:eastAsia="宋体" w:cs="宋体"/>
          <w:b/>
          <w:color w:val="auto"/>
          <w:kern w:val="2"/>
          <w:sz w:val="32"/>
          <w:szCs w:val="24"/>
          <w:highlight w:val="none"/>
          <w:lang w:val="en-US" w:eastAsia="zh-CN" w:bidi="ar-SA"/>
        </w:rPr>
        <w:br w:type="page"/>
      </w:r>
      <w:bookmarkStart w:id="2" w:name="_Toc501460801"/>
      <w:bookmarkStart w:id="3" w:name="_Toc13057402"/>
      <w:r>
        <w:rPr>
          <w:rFonts w:hint="eastAsia" w:ascii="宋体" w:hAnsi="宋体" w:eastAsia="宋体" w:cs="宋体"/>
          <w:b/>
          <w:color w:val="auto"/>
          <w:kern w:val="2"/>
          <w:sz w:val="32"/>
          <w:szCs w:val="24"/>
          <w:highlight w:val="none"/>
          <w:lang w:val="en-US" w:eastAsia="zh-CN" w:bidi="ar-SA"/>
        </w:rPr>
        <w:t>十、技术支持资料</w:t>
      </w:r>
      <w:bookmarkEnd w:id="2"/>
      <w:bookmarkEnd w:id="3"/>
    </w:p>
    <w:p w14:paraId="541314A1">
      <w:pPr>
        <w:keepNext/>
        <w:keepLines/>
        <w:pageBreakBefore w:val="0"/>
        <w:widowControl w:val="0"/>
        <w:kinsoku/>
        <w:overflowPunct/>
        <w:bidi w:val="0"/>
        <w:spacing w:line="360" w:lineRule="auto"/>
        <w:jc w:val="both"/>
        <w:textAlignment w:val="auto"/>
        <w:outlineLvl w:val="1"/>
        <w:rPr>
          <w:rFonts w:ascii="宋体" w:hAnsi="宋体" w:eastAsia="宋体" w:cs="宋体"/>
          <w:b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1"/>
          <w:szCs w:val="21"/>
          <w:highlight w:val="none"/>
          <w:lang w:val="en-US" w:eastAsia="zh-CN" w:bidi="ar-SA"/>
        </w:rPr>
        <w:t>（投标人需将加注星号“★”的重要技术条款或技术参数的技术支持资料集中在此章节中列出，技术支持资料以此章节内容为准。若技术支持资料在此章节有缺漏，评标委员会可视为未提供对应的技术支持资料。）</w:t>
      </w:r>
    </w:p>
    <w:p w14:paraId="3B9C4734">
      <w:pPr>
        <w:pageBreakBefore w:val="0"/>
        <w:kinsoku/>
        <w:overflowPunct/>
        <w:bidi w:val="0"/>
        <w:spacing w:line="360" w:lineRule="auto"/>
        <w:textAlignment w:val="auto"/>
        <w:rPr>
          <w:rFonts w:ascii="宋体" w:hAnsi="宋体" w:eastAsia="宋体" w:cs="宋体"/>
          <w:b/>
          <w:color w:val="auto"/>
          <w:szCs w:val="21"/>
          <w:highlight w:val="none"/>
        </w:rPr>
      </w:pPr>
    </w:p>
    <w:p w14:paraId="4E7E41C3">
      <w:pPr>
        <w:pageBreakBefore w:val="0"/>
        <w:kinsoku/>
        <w:overflowPunct/>
        <w:bidi w:val="0"/>
        <w:spacing w:line="360" w:lineRule="auto"/>
        <w:textAlignment w:val="auto"/>
        <w:rPr>
          <w:rFonts w:ascii="宋体" w:hAnsi="宋体" w:eastAsia="宋体" w:cs="宋体"/>
          <w:b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投标人对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zh-TW" w:eastAsia="zh-TW"/>
        </w:rPr>
        <w:t>加注星号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（“★”）的重要技术条款或技术参数应当在投标文件中提供技术支持资料。技术支持资料（可提供以下任意一种形式）：</w:t>
      </w:r>
    </w:p>
    <w:p w14:paraId="368473AF">
      <w:pPr>
        <w:pageBreakBefore w:val="0"/>
        <w:kinsoku/>
        <w:overflowPunct/>
        <w:bidi w:val="0"/>
        <w:spacing w:line="360" w:lineRule="auto"/>
        <w:textAlignment w:val="auto"/>
        <w:rPr>
          <w:rFonts w:ascii="宋体" w:hAnsi="宋体" w:eastAsia="宋体" w:cs="宋体"/>
          <w:b/>
          <w:bCs/>
          <w:color w:val="auto"/>
          <w:szCs w:val="21"/>
          <w:highlight w:val="none"/>
        </w:rPr>
      </w:pPr>
      <w:r>
        <w:rPr>
          <w:rFonts w:ascii="宋体" w:hAnsi="宋体" w:eastAsia="宋体" w:cs="宋体"/>
          <w:b/>
          <w:bCs/>
          <w:color w:val="auto"/>
          <w:szCs w:val="21"/>
          <w:highlight w:val="none"/>
        </w:rPr>
        <w:t>1）</w:t>
      </w:r>
      <w:r>
        <w:rPr>
          <w:rFonts w:hint="eastAsia" w:ascii="宋体" w:hAnsi="宋体" w:eastAsia="宋体" w:cs="宋体"/>
          <w:b/>
          <w:bCs/>
          <w:color w:val="auto"/>
          <w:szCs w:val="21"/>
          <w:highlight w:val="none"/>
        </w:rPr>
        <w:t>投标货物制造商公开发布的印刷资料；</w:t>
      </w:r>
    </w:p>
    <w:p w14:paraId="1BC2964D">
      <w:pPr>
        <w:pageBreakBefore w:val="0"/>
        <w:kinsoku/>
        <w:overflowPunct/>
        <w:bidi w:val="0"/>
        <w:spacing w:line="360" w:lineRule="auto"/>
        <w:textAlignment w:val="auto"/>
        <w:rPr>
          <w:rFonts w:ascii="宋体" w:hAnsi="宋体" w:eastAsia="宋体" w:cs="宋体"/>
          <w:b/>
          <w:bCs/>
          <w:color w:val="auto"/>
          <w:szCs w:val="21"/>
          <w:highlight w:val="none"/>
        </w:rPr>
      </w:pPr>
      <w:r>
        <w:rPr>
          <w:rFonts w:ascii="宋体" w:hAnsi="宋体" w:eastAsia="宋体" w:cs="宋体"/>
          <w:b/>
          <w:bCs/>
          <w:color w:val="auto"/>
          <w:szCs w:val="21"/>
          <w:highlight w:val="none"/>
        </w:rPr>
        <w:t>2）</w:t>
      </w:r>
      <w:r>
        <w:rPr>
          <w:rFonts w:hint="eastAsia" w:ascii="宋体" w:hAnsi="宋体" w:eastAsia="宋体" w:cs="宋体"/>
          <w:b/>
          <w:bCs/>
          <w:color w:val="auto"/>
          <w:szCs w:val="21"/>
          <w:highlight w:val="none"/>
        </w:rPr>
        <w:t>检测机构出具的检测报告；</w:t>
      </w:r>
    </w:p>
    <w:p w14:paraId="7E574837">
      <w:pPr>
        <w:pageBreakBefore w:val="0"/>
        <w:kinsoku/>
        <w:overflowPunct/>
        <w:bidi w:val="0"/>
        <w:spacing w:line="360" w:lineRule="auto"/>
        <w:textAlignment w:val="auto"/>
        <w:rPr>
          <w:rFonts w:ascii="宋体" w:hAnsi="宋体" w:eastAsia="宋体" w:cs="宋体"/>
          <w:b/>
          <w:bCs/>
          <w:color w:val="auto"/>
          <w:szCs w:val="21"/>
          <w:highlight w:val="none"/>
        </w:rPr>
      </w:pPr>
      <w:r>
        <w:rPr>
          <w:rFonts w:ascii="宋体" w:hAnsi="宋体" w:eastAsia="宋体" w:cs="宋体"/>
          <w:b/>
          <w:bCs/>
          <w:color w:val="auto"/>
          <w:szCs w:val="21"/>
          <w:highlight w:val="none"/>
        </w:rPr>
        <w:t>3）</w:t>
      </w:r>
      <w:r>
        <w:rPr>
          <w:rFonts w:hint="eastAsia" w:ascii="宋体" w:hAnsi="宋体" w:eastAsia="宋体" w:cs="宋体"/>
          <w:b/>
          <w:bCs/>
          <w:color w:val="auto"/>
          <w:szCs w:val="21"/>
          <w:highlight w:val="none"/>
        </w:rPr>
        <w:t>其它形式：①可以是制造商互联网主页上的产品说明；②重要技术条款或技术参数的详细技术方案（或投标设备技术性能指标的详细描述）。</w:t>
      </w:r>
    </w:p>
    <w:p w14:paraId="7D767461">
      <w:pPr>
        <w:pageBreakBefore w:val="0"/>
        <w:kinsoku/>
        <w:overflowPunct/>
        <w:bidi w:val="0"/>
        <w:spacing w:line="360" w:lineRule="auto"/>
        <w:textAlignment w:val="auto"/>
        <w:rPr>
          <w:rFonts w:ascii="宋体" w:hAnsi="宋体" w:eastAsia="宋体" w:cs="宋体"/>
          <w:b/>
          <w:bCs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Cs w:val="21"/>
          <w:highlight w:val="none"/>
        </w:rPr>
        <w:t>凡不符合上述要求的，将视为无效技术支持资料，其投标将被否决。</w:t>
      </w:r>
    </w:p>
    <w:p w14:paraId="245A29CF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ascii="Calibri" w:hAnsi="Calibri" w:eastAsia="宋体" w:cs="Times New Roman"/>
          <w:color w:val="auto"/>
          <w:kern w:val="2"/>
          <w:sz w:val="18"/>
          <w:szCs w:val="24"/>
          <w:highlight w:val="none"/>
          <w:lang w:val="en-US" w:eastAsia="zh-CN" w:bidi="ar-SA"/>
        </w:rPr>
      </w:pPr>
    </w:p>
    <w:p w14:paraId="59EB5928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eastAsia" w:ascii="Calibri" w:hAnsi="Calibri" w:eastAsia="宋体" w:cs="Times New Roman"/>
          <w:b/>
          <w:bCs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（一）1.1  115V/1800kVA交流电源-1.1.2电源输出技术性能指标</w:t>
      </w:r>
    </w:p>
    <w:p w14:paraId="7C6E7B2B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  <w:t>1、★b）输出电压范围：AC 115V±10%；</w:t>
      </w:r>
    </w:p>
    <w:p w14:paraId="0769838E">
      <w:pPr>
        <w:spacing w:line="360" w:lineRule="exact"/>
        <w:rPr>
          <w:rFonts w:ascii="宋体" w:hAnsi="宋体" w:eastAsia="宋体" w:cs="宋体"/>
          <w:b/>
          <w:bCs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技术支持资料：</w:t>
      </w:r>
    </w:p>
    <w:p w14:paraId="25132557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3ECEE1F6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7D7F9963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  <w:t>2、★c）输出频率：270Hz～830Hz；</w:t>
      </w:r>
    </w:p>
    <w:p w14:paraId="462AA5FE">
      <w:pPr>
        <w:spacing w:line="360" w:lineRule="exact"/>
        <w:rPr>
          <w:rFonts w:ascii="宋体" w:hAnsi="宋体" w:eastAsia="宋体" w:cs="宋体"/>
          <w:b/>
          <w:bCs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技术支持资料：</w:t>
      </w:r>
    </w:p>
    <w:p w14:paraId="4DED27E3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1515A42C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70B0177C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  <w:t>3、★e）电压稳定度：≤±1%FS；</w:t>
      </w:r>
    </w:p>
    <w:p w14:paraId="2B1C339D">
      <w:pPr>
        <w:spacing w:line="360" w:lineRule="exact"/>
        <w:rPr>
          <w:rFonts w:ascii="宋体" w:hAnsi="宋体" w:eastAsia="宋体" w:cs="宋体"/>
          <w:b/>
          <w:bCs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技术支持资料：</w:t>
      </w:r>
    </w:p>
    <w:p w14:paraId="40370CE0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306D115A">
      <w:pPr>
        <w:spacing w:line="360" w:lineRule="exact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61E50B89">
      <w:pPr>
        <w:rPr>
          <w:rFonts w:hint="eastAsia" w:ascii="Calibri" w:hAnsi="Calibri" w:eastAsia="宋体" w:cs="Times New Roman"/>
          <w:b/>
          <w:bCs/>
          <w:color w:val="auto"/>
          <w:sz w:val="21"/>
          <w:szCs w:val="21"/>
          <w:highlight w:val="none"/>
          <w:lang w:val="en-US" w:eastAsia="zh-CN"/>
        </w:rPr>
      </w:pPr>
    </w:p>
    <w:p w14:paraId="5B4D2E4C">
      <w:pPr>
        <w:rPr>
          <w:rFonts w:hint="eastAsia" w:ascii="Calibri" w:hAnsi="Calibri" w:eastAsia="宋体" w:cs="Times New Roman"/>
          <w:b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color w:val="auto"/>
          <w:sz w:val="21"/>
          <w:szCs w:val="21"/>
          <w:highlight w:val="none"/>
          <w:lang w:val="en-US" w:eastAsia="zh-CN"/>
        </w:rPr>
        <w:br w:type="page"/>
      </w:r>
    </w:p>
    <w:p w14:paraId="0988A844">
      <w:pPr>
        <w:rPr>
          <w:rFonts w:hint="eastAsia" w:ascii="Calibri" w:hAnsi="Calibri" w:eastAsia="宋体" w:cs="Times New Roman"/>
          <w:b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color w:val="auto"/>
          <w:sz w:val="21"/>
          <w:szCs w:val="21"/>
          <w:highlight w:val="none"/>
          <w:lang w:val="en-US" w:eastAsia="zh-CN"/>
        </w:rPr>
        <w:t>（二）1.1  115V/1800kVA交流电源-1.1.3 电源的输出能力</w:t>
      </w:r>
    </w:p>
    <w:p w14:paraId="7DF7C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1、★a）额定连续输出电流：5000A/相；三相合计最大输出电流15000A；</w:t>
      </w:r>
    </w:p>
    <w:p w14:paraId="47DCB1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①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在输出电压115V AC/400Hz时三相额定连续输出电流：5000A；</w:t>
      </w:r>
    </w:p>
    <w:p w14:paraId="3CCE4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②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在输出电压115V AC/(300Hz～800Hz)时三相额定连续输出电流：5000A；</w:t>
      </w:r>
    </w:p>
    <w:p w14:paraId="1647A219">
      <w:pPr>
        <w:spacing w:line="360" w:lineRule="exact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27C3AF9D">
      <w:pPr>
        <w:spacing w:line="360" w:lineRule="exact"/>
        <w:rPr>
          <w:rFonts w:ascii="宋体" w:hAnsi="宋体" w:eastAsia="宋体" w:cs="宋体"/>
          <w:b/>
          <w:bCs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技术支持资料：</w:t>
      </w:r>
    </w:p>
    <w:p w14:paraId="66D07132">
      <w:pPr>
        <w:rPr>
          <w:rFonts w:hint="eastAsia" w:ascii="Calibri" w:hAnsi="Calibri" w:eastAsia="宋体" w:cs="Times New Roman"/>
          <w:b/>
          <w:bCs/>
          <w:color w:val="auto"/>
          <w:sz w:val="21"/>
          <w:szCs w:val="21"/>
          <w:highlight w:val="none"/>
          <w:lang w:val="en-US" w:eastAsia="zh-CN"/>
        </w:rPr>
      </w:pPr>
    </w:p>
    <w:p w14:paraId="592913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422" w:firstLineChars="200"/>
        <w:textAlignment w:val="auto"/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color w:val="auto"/>
          <w:sz w:val="21"/>
          <w:szCs w:val="21"/>
          <w:highlight w:val="none"/>
          <w:lang w:val="en-US" w:eastAsia="zh-CN"/>
        </w:rPr>
        <w:t>2、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★b）电源由电源模块并联实现，一台电源为主机，其他电源为从机，所有电源模块输出端合并统一输出5000A/相，三相合计最大输出电流15000A，由主机与测试系统连接，控制调度其他从机实现统一输出。</w:t>
      </w:r>
    </w:p>
    <w:p w14:paraId="44095311">
      <w:pPr>
        <w:spacing w:line="360" w:lineRule="exact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77612F2A">
      <w:pPr>
        <w:spacing w:line="360" w:lineRule="exact"/>
        <w:rPr>
          <w:rFonts w:ascii="宋体" w:hAnsi="宋体" w:eastAsia="宋体" w:cs="宋体"/>
          <w:b/>
          <w:bCs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技术支持资料：</w:t>
      </w:r>
    </w:p>
    <w:p w14:paraId="2DE95922">
      <w:pPr>
        <w:rPr>
          <w:rFonts w:hint="eastAsia" w:ascii="Calibri" w:hAnsi="Calibri" w:eastAsia="宋体" w:cs="Times New Roman"/>
          <w:b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color w:val="auto"/>
          <w:sz w:val="21"/>
          <w:szCs w:val="21"/>
          <w:highlight w:val="none"/>
          <w:lang w:val="en-US" w:eastAsia="zh-CN"/>
        </w:rPr>
        <w:br w:type="page"/>
      </w:r>
    </w:p>
    <w:p w14:paraId="0BF58DF0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（三）1.1  115V/1800kVA交流电源-</w:t>
      </w:r>
      <w:r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  <w:t>1.1.5电源保护及故障查询功能</w:t>
      </w:r>
    </w:p>
    <w:p w14:paraId="7F58A41C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default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  <w:t>1、</w:t>
      </w:r>
      <w:r>
        <w:rPr>
          <w:rFonts w:hint="default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  <w:t>★a）输入过压、欠压，输入缺相；</w:t>
      </w:r>
    </w:p>
    <w:p w14:paraId="6C9FAD59">
      <w:pPr>
        <w:spacing w:line="360" w:lineRule="exact"/>
        <w:rPr>
          <w:rFonts w:ascii="宋体" w:hAnsi="宋体" w:eastAsia="宋体" w:cs="宋体"/>
          <w:b/>
          <w:bCs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技术支</w:t>
      </w:r>
      <w:bookmarkStart w:id="6" w:name="_GoBack"/>
      <w:bookmarkEnd w:id="6"/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持资料：</w:t>
      </w:r>
    </w:p>
    <w:p w14:paraId="310F05D2">
      <w:pPr>
        <w:rPr>
          <w:rFonts w:hint="default" w:ascii="Calibri" w:hAnsi="Calibri" w:eastAsia="宋体" w:cs="Times New Roman"/>
          <w:color w:val="auto"/>
          <w:sz w:val="21"/>
          <w:szCs w:val="21"/>
          <w:highlight w:val="none"/>
          <w:lang w:val="en-US" w:eastAsia="zh-CN"/>
        </w:rPr>
      </w:pPr>
    </w:p>
    <w:p w14:paraId="40EB6D37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0F85FAB5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75E67EAF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default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  <w:t>2、</w:t>
      </w:r>
      <w:r>
        <w:rPr>
          <w:rFonts w:hint="default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  <w:t>★b）输出过压、过载、短路、内部过热；</w:t>
      </w:r>
    </w:p>
    <w:p w14:paraId="78C7AFDC">
      <w:pPr>
        <w:spacing w:line="360" w:lineRule="exact"/>
        <w:rPr>
          <w:rFonts w:ascii="宋体" w:hAnsi="宋体" w:eastAsia="宋体" w:cs="宋体"/>
          <w:b/>
          <w:bCs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技术支持资料：</w:t>
      </w:r>
    </w:p>
    <w:p w14:paraId="7FAB2C7E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4B8793C0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571A3C15">
      <w:pPr>
        <w:rPr>
          <w:rFonts w:hint="eastAsia" w:ascii="Calibri" w:hAnsi="Calibri" w:eastAsia="宋体" w:cs="Times New Roman"/>
          <w:b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color w:val="auto"/>
          <w:sz w:val="21"/>
          <w:szCs w:val="21"/>
          <w:highlight w:val="none"/>
          <w:lang w:val="en-US" w:eastAsia="zh-CN"/>
        </w:rPr>
        <w:br w:type="page"/>
      </w:r>
    </w:p>
    <w:p w14:paraId="460B2E09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（四）1.1  115V/1800kVA交流电源-</w:t>
      </w:r>
      <w:r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  <w:t>1.1.7电源的安全特性</w:t>
      </w:r>
    </w:p>
    <w:p w14:paraId="501FAF85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default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  <w:t>1、</w:t>
      </w:r>
      <w:r>
        <w:rPr>
          <w:rFonts w:hint="default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  <w:t>★a）绝缘电阻：参照电力行业标准DL/T1216-2019的7.2中对相关部位的要求，该设备在DC500V时要大于10MΩ以上；</w:t>
      </w:r>
    </w:p>
    <w:p w14:paraId="40B92150">
      <w:pPr>
        <w:spacing w:line="360" w:lineRule="exact"/>
        <w:rPr>
          <w:rFonts w:ascii="宋体" w:hAnsi="宋体" w:eastAsia="宋体" w:cs="宋体"/>
          <w:b/>
          <w:bCs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技术支持资料：</w:t>
      </w:r>
    </w:p>
    <w:p w14:paraId="5B9EA32B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default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2DDA2BC7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default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54B89F9F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default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  <w:t>2、</w:t>
      </w:r>
      <w:r>
        <w:rPr>
          <w:rFonts w:hint="default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  <w:t>★b）工频耐压水平：参照电力行业标准DL/T1216-2019的7.2中相关要求和国标GB/T16927.1-2011高电压试验技术的6.3中相关规定，在该设备的相应部位，按规定缓慢地从0V升高至AC 3600V后并保持60s，设备的相应部位应无闪络和击穿现象发生。</w:t>
      </w:r>
    </w:p>
    <w:p w14:paraId="62D3F7BB">
      <w:pPr>
        <w:spacing w:line="360" w:lineRule="exact"/>
        <w:rPr>
          <w:rFonts w:ascii="宋体" w:hAnsi="宋体" w:eastAsia="宋体" w:cs="宋体"/>
          <w:b/>
          <w:bCs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技术支持资料：</w:t>
      </w:r>
    </w:p>
    <w:p w14:paraId="3558381D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02FC88CE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5E3909CB">
      <w:pPr>
        <w:rPr>
          <w:rFonts w:hint="eastAsia" w:ascii="Calibri" w:hAnsi="Calibri" w:eastAsia="宋体" w:cs="Times New Roman"/>
          <w:b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color w:val="auto"/>
          <w:sz w:val="21"/>
          <w:szCs w:val="21"/>
          <w:highlight w:val="none"/>
          <w:lang w:val="en-US" w:eastAsia="zh-CN"/>
        </w:rPr>
        <w:br w:type="page"/>
      </w:r>
    </w:p>
    <w:p w14:paraId="62210365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eastAsia" w:ascii="Calibri" w:hAnsi="Calibri" w:eastAsia="宋体" w:cs="Times New Roman"/>
          <w:b/>
          <w:bCs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（五）1.2 交流阻性负载</w:t>
      </w:r>
    </w:p>
    <w:p w14:paraId="6BB021AF">
      <w:pPr>
        <w:ind w:left="0" w:leftChars="0" w:firstLine="420" w:firstLineChars="200"/>
        <w:rPr>
          <w:rFonts w:hint="eastAsia" w:ascii="宋体" w:hAnsi="宋体" w:eastAsia="宋体" w:cs="Times New Roman"/>
          <w:sz w:val="21"/>
          <w:szCs w:val="21"/>
          <w:highlight w:val="none"/>
        </w:rPr>
      </w:pPr>
      <w:r>
        <w:rPr>
          <w:rFonts w:hint="eastAsia" w:ascii="Calibri" w:hAnsi="Calibri" w:eastAsia="宋体" w:cs="Times New Roman"/>
          <w:sz w:val="21"/>
          <w:szCs w:val="21"/>
          <w:highlight w:val="none"/>
          <w:lang w:val="en-US" w:eastAsia="zh-CN"/>
        </w:rPr>
        <w:t>1、★</w:t>
      </w: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1.2.1</w:t>
      </w:r>
      <w:r>
        <w:rPr>
          <w:rFonts w:hint="eastAsia" w:ascii="宋体" w:hAnsi="宋体" w:eastAsia="宋体" w:cs="Times New Roman"/>
          <w:sz w:val="21"/>
          <w:szCs w:val="21"/>
          <w:highlight w:val="none"/>
        </w:rPr>
        <w:t>整体负载有AC 115V/5000A（270Hz～830Hz）交流阻性负载：3路。</w:t>
      </w:r>
    </w:p>
    <w:p w14:paraId="0A4C0DDC">
      <w:pPr>
        <w:spacing w:line="360" w:lineRule="exact"/>
        <w:rPr>
          <w:rFonts w:ascii="宋体" w:hAnsi="宋体" w:eastAsia="宋体" w:cs="宋体"/>
          <w:b/>
          <w:bCs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技术支持资料：</w:t>
      </w:r>
    </w:p>
    <w:p w14:paraId="5087BBAC">
      <w:pPr>
        <w:ind w:left="0" w:leftChars="0" w:firstLine="420" w:firstLineChars="200"/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</w:pPr>
    </w:p>
    <w:p w14:paraId="62726E3F">
      <w:pPr>
        <w:ind w:left="0" w:leftChars="0" w:firstLine="420" w:firstLineChars="200"/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</w:pPr>
    </w:p>
    <w:p w14:paraId="78977E3D">
      <w:pPr>
        <w:ind w:left="0" w:leftChars="0" w:firstLine="420" w:firstLineChars="200"/>
        <w:rPr>
          <w:rFonts w:ascii="宋体" w:hAnsi="宋体" w:eastAsia="宋体" w:cs="Times New Roman"/>
          <w:sz w:val="21"/>
          <w:szCs w:val="21"/>
          <w:highlight w:val="none"/>
        </w:rPr>
      </w:pP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2、1.2.2</w:t>
      </w:r>
      <w:r>
        <w:rPr>
          <w:rFonts w:hint="eastAsia" w:ascii="宋体" w:hAnsi="宋体" w:eastAsia="宋体" w:cs="Times New Roman"/>
          <w:sz w:val="21"/>
          <w:szCs w:val="21"/>
          <w:highlight w:val="none"/>
        </w:rPr>
        <w:t>单路指标及要求</w:t>
      </w:r>
      <w:r>
        <w:rPr>
          <w:rFonts w:ascii="宋体" w:hAnsi="宋体" w:eastAsia="宋体" w:cs="Times New Roman"/>
          <w:sz w:val="21"/>
          <w:szCs w:val="21"/>
          <w:highlight w:val="none"/>
        </w:rPr>
        <w:t>如下：</w:t>
      </w:r>
    </w:p>
    <w:tbl>
      <w:tblPr>
        <w:tblStyle w:val="2"/>
        <w:tblpPr w:leftFromText="180" w:rightFromText="180" w:vertAnchor="text" w:tblpY="1"/>
        <w:tblOverlap w:val="never"/>
        <w:tblW w:w="8261" w:type="dxa"/>
        <w:tblInd w:w="4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6630"/>
      </w:tblGrid>
      <w:tr w14:paraId="7AA9A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1" w:type="dxa"/>
            <w:gridSpan w:val="2"/>
            <w:noWrap w:val="0"/>
            <w:vAlign w:val="center"/>
          </w:tcPr>
          <w:p w14:paraId="6D3B4A64">
            <w:pPr>
              <w:spacing w:line="240" w:lineRule="auto"/>
              <w:ind w:left="420"/>
              <w:jc w:val="center"/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</w:pPr>
            <w:r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  <w:t>系统参数</w:t>
            </w:r>
          </w:p>
        </w:tc>
      </w:tr>
      <w:tr w14:paraId="68B4C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631" w:type="dxa"/>
            <w:noWrap w:val="0"/>
            <w:vAlign w:val="center"/>
          </w:tcPr>
          <w:p w14:paraId="24159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42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最大负载功率</w:t>
            </w:r>
          </w:p>
          <w:p w14:paraId="6A2BAB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420" w:leftChars="0"/>
              <w:jc w:val="center"/>
              <w:textAlignment w:val="auto"/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AC 115V</w:t>
            </w:r>
          </w:p>
        </w:tc>
        <w:tc>
          <w:tcPr>
            <w:tcW w:w="6630" w:type="dxa"/>
            <w:noWrap w:val="0"/>
            <w:vAlign w:val="center"/>
          </w:tcPr>
          <w:p w14:paraId="71EFFF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420" w:leftChars="0"/>
              <w:jc w:val="center"/>
              <w:textAlignment w:val="auto"/>
              <w:rPr>
                <w:rFonts w:hint="eastAsia" w:ascii="Calibri" w:hAnsi="Calibri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★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额定阻性负载电流：5000A（单路5000A，共3路)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；阻性负载由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3套独立的负载组成，可合并使用，也可分别独立使用，负载电流分别为1000A、2000A、2000A；</w:t>
            </w:r>
          </w:p>
        </w:tc>
      </w:tr>
      <w:tr w14:paraId="4026E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631" w:type="dxa"/>
            <w:noWrap w:val="0"/>
            <w:vAlign w:val="center"/>
          </w:tcPr>
          <w:p w14:paraId="0F18F0DB">
            <w:pPr>
              <w:spacing w:line="240" w:lineRule="auto"/>
              <w:ind w:left="420"/>
              <w:jc w:val="center"/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</w:pPr>
            <w:r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  <w:t>负载精度（每档）</w:t>
            </w:r>
          </w:p>
        </w:tc>
        <w:tc>
          <w:tcPr>
            <w:tcW w:w="6630" w:type="dxa"/>
            <w:noWrap w:val="0"/>
            <w:vAlign w:val="center"/>
          </w:tcPr>
          <w:p w14:paraId="30D7AD2D">
            <w:pPr>
              <w:spacing w:line="240" w:lineRule="auto"/>
              <w:ind w:left="420"/>
              <w:jc w:val="center"/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1"/>
                <w:highlight w:val="none"/>
                <w:lang w:val="en-US" w:eastAsia="zh-CN"/>
              </w:rPr>
              <w:t>★</w:t>
            </w:r>
            <w:r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  <w:t>±5%；</w:t>
            </w:r>
          </w:p>
        </w:tc>
      </w:tr>
      <w:tr w14:paraId="674D1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631" w:type="dxa"/>
            <w:noWrap w:val="0"/>
            <w:vAlign w:val="center"/>
          </w:tcPr>
          <w:p w14:paraId="1767C473">
            <w:pPr>
              <w:spacing w:line="240" w:lineRule="auto"/>
              <w:ind w:left="420"/>
              <w:jc w:val="center"/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</w:pPr>
            <w:r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  <w:t>工作温度</w:t>
            </w:r>
          </w:p>
        </w:tc>
        <w:tc>
          <w:tcPr>
            <w:tcW w:w="6630" w:type="dxa"/>
            <w:noWrap w:val="0"/>
            <w:vAlign w:val="center"/>
          </w:tcPr>
          <w:p w14:paraId="27E0F1B2">
            <w:pPr>
              <w:spacing w:line="240" w:lineRule="auto"/>
              <w:ind w:left="420"/>
              <w:jc w:val="center"/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1"/>
                <w:highlight w:val="none"/>
                <w:lang w:val="en-US" w:eastAsia="zh-CN"/>
              </w:rPr>
              <w:t>★</w:t>
            </w:r>
            <w:r>
              <w:rPr>
                <w:rFonts w:hint="eastAsia" w:ascii="宋体" w:hAnsi="宋体" w:eastAsia="宋体" w:cs="Times New Roman"/>
                <w:sz w:val="21"/>
                <w:szCs w:val="21"/>
                <w:highlight w:val="none"/>
              </w:rPr>
              <w:t>1</w:t>
            </w:r>
            <w:r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  <w:t>0℃～+50℃；</w:t>
            </w:r>
          </w:p>
        </w:tc>
      </w:tr>
      <w:tr w14:paraId="43463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631" w:type="dxa"/>
            <w:noWrap w:val="0"/>
            <w:vAlign w:val="center"/>
          </w:tcPr>
          <w:p w14:paraId="361B0DC1">
            <w:pPr>
              <w:spacing w:line="240" w:lineRule="auto"/>
              <w:ind w:left="420"/>
              <w:jc w:val="center"/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</w:pPr>
            <w:r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  <w:t>工作噪音</w:t>
            </w:r>
          </w:p>
        </w:tc>
        <w:tc>
          <w:tcPr>
            <w:tcW w:w="6630" w:type="dxa"/>
            <w:noWrap w:val="0"/>
            <w:vAlign w:val="center"/>
          </w:tcPr>
          <w:p w14:paraId="2594087A">
            <w:pPr>
              <w:spacing w:line="240" w:lineRule="auto"/>
              <w:ind w:left="420"/>
              <w:jc w:val="center"/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</w:pPr>
            <w:r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  <w:t>距离设备1米处:</w:t>
            </w:r>
            <w:r>
              <w:rPr>
                <w:rFonts w:hint="eastAsia" w:ascii="宋体" w:hAnsi="宋体" w:eastAsia="宋体" w:cs="Times New Roman"/>
                <w:sz w:val="21"/>
                <w:szCs w:val="21"/>
                <w:highlight w:val="none"/>
                <w:lang w:val="en-US" w:eastAsia="zh-CN"/>
              </w:rPr>
              <w:t>★</w:t>
            </w:r>
            <w:r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  <w:t>≤</w:t>
            </w:r>
            <w:r>
              <w:rPr>
                <w:rFonts w:hint="eastAsia" w:ascii="宋体" w:hAnsi="宋体" w:eastAsia="宋体" w:cs="Times New Roman"/>
                <w:sz w:val="21"/>
                <w:szCs w:val="21"/>
                <w:highlight w:val="none"/>
              </w:rPr>
              <w:t>70</w:t>
            </w:r>
            <w:r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  <w:t>dB；</w:t>
            </w:r>
          </w:p>
        </w:tc>
      </w:tr>
      <w:tr w14:paraId="0F03C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noWrap w:val="0"/>
            <w:vAlign w:val="center"/>
          </w:tcPr>
          <w:p w14:paraId="6344D4A7">
            <w:pPr>
              <w:spacing w:line="240" w:lineRule="auto"/>
              <w:ind w:left="420"/>
              <w:jc w:val="center"/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</w:pPr>
            <w:r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  <w:t>相对湿度</w:t>
            </w:r>
          </w:p>
        </w:tc>
        <w:tc>
          <w:tcPr>
            <w:tcW w:w="6630" w:type="dxa"/>
            <w:noWrap w:val="0"/>
            <w:vAlign w:val="center"/>
          </w:tcPr>
          <w:p w14:paraId="110E26AC">
            <w:pPr>
              <w:spacing w:line="240" w:lineRule="auto"/>
              <w:ind w:left="420"/>
              <w:jc w:val="center"/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1"/>
                <w:highlight w:val="none"/>
                <w:lang w:val="en-US" w:eastAsia="zh-CN"/>
              </w:rPr>
              <w:t>★</w:t>
            </w:r>
            <w:r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  <w:t>≤95%；</w:t>
            </w:r>
          </w:p>
        </w:tc>
      </w:tr>
    </w:tbl>
    <w:p w14:paraId="758E112B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default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2DCAB941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default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75BCC2E6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01443A07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jc w:val="both"/>
        <w:textAlignment w:val="auto"/>
        <w:rPr>
          <w:rFonts w:hint="eastAsia" w:ascii="Calibri" w:hAnsi="Calibri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79FDC084">
      <w:pPr>
        <w:ind w:left="0" w:leftChars="0" w:firstLine="422" w:firstLineChars="200"/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  <w:lang w:val="en-US" w:eastAsia="zh-CN"/>
        </w:rPr>
      </w:pPr>
    </w:p>
    <w:p w14:paraId="0FC44B84">
      <w:pPr>
        <w:ind w:left="0" w:leftChars="0" w:firstLine="422" w:firstLineChars="200"/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  <w:lang w:val="en-US" w:eastAsia="zh-CN"/>
        </w:rPr>
      </w:pPr>
    </w:p>
    <w:p w14:paraId="4DA4DF8B">
      <w:pPr>
        <w:spacing w:line="360" w:lineRule="exact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1F954887">
      <w:pPr>
        <w:spacing w:line="360" w:lineRule="exact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40BFBD73">
      <w:pPr>
        <w:spacing w:line="360" w:lineRule="exact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103DA262">
      <w:pPr>
        <w:spacing w:line="360" w:lineRule="exact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0181EF77">
      <w:pPr>
        <w:spacing w:line="360" w:lineRule="exact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23582ADD">
      <w:pPr>
        <w:spacing w:line="360" w:lineRule="exact"/>
        <w:rPr>
          <w:rFonts w:ascii="宋体" w:hAnsi="宋体" w:eastAsia="宋体" w:cs="宋体"/>
          <w:b/>
          <w:bCs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技术支持资料：</w:t>
      </w:r>
    </w:p>
    <w:p w14:paraId="52844657">
      <w:pPr>
        <w:ind w:left="0" w:leftChars="0" w:firstLine="422" w:firstLineChars="200"/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  <w:lang w:val="en-US" w:eastAsia="zh-CN"/>
        </w:rPr>
      </w:pPr>
    </w:p>
    <w:p w14:paraId="53A230AC">
      <w:pPr>
        <w:ind w:left="0" w:leftChars="0" w:firstLine="422" w:firstLineChars="200"/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  <w:lang w:val="en-US" w:eastAsia="zh-CN"/>
        </w:rPr>
      </w:pPr>
    </w:p>
    <w:p w14:paraId="194BBE3B">
      <w:pPr>
        <w:ind w:left="0" w:leftChars="0" w:firstLine="422" w:firstLineChars="200"/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  <w:lang w:val="en-US" w:eastAsia="zh-CN"/>
        </w:rPr>
      </w:pPr>
    </w:p>
    <w:p w14:paraId="0EB0F6C3">
      <w:pPr>
        <w:rPr>
          <w:rFonts w:hint="eastAsia" w:ascii="宋体" w:hAnsi="宋体" w:eastAsia="宋体" w:cs="宋体"/>
          <w:b/>
          <w:bCs w:val="0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1"/>
          <w:szCs w:val="21"/>
          <w:highlight w:val="none"/>
          <w:lang w:val="en-US" w:eastAsia="zh-CN"/>
        </w:rPr>
        <w:br w:type="page"/>
      </w:r>
    </w:p>
    <w:p w14:paraId="67192A41">
      <w:pPr>
        <w:ind w:left="0" w:leftChars="0" w:firstLine="422" w:firstLineChars="200"/>
        <w:rPr>
          <w:rFonts w:hint="eastAsia" w:ascii="宋体" w:hAnsi="宋体" w:eastAsia="宋体" w:cs="Times New Roman"/>
          <w:b/>
          <w:bCs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 w:val="0"/>
          <w:color w:val="auto"/>
          <w:sz w:val="21"/>
          <w:szCs w:val="21"/>
          <w:highlight w:val="none"/>
          <w:lang w:val="en-US" w:eastAsia="zh-CN"/>
        </w:rPr>
        <w:t>（六）</w:t>
      </w:r>
      <w:r>
        <w:rPr>
          <w:rFonts w:hint="eastAsia" w:ascii="宋体" w:hAnsi="宋体" w:eastAsia="宋体" w:cs="Times New Roman"/>
          <w:b/>
          <w:bCs w:val="0"/>
          <w:sz w:val="21"/>
          <w:szCs w:val="21"/>
          <w:highlight w:val="none"/>
          <w:lang w:val="en-US" w:eastAsia="zh-CN"/>
        </w:rPr>
        <w:t>1</w:t>
      </w:r>
      <w:r>
        <w:rPr>
          <w:rFonts w:hint="eastAsia" w:ascii="宋体" w:hAnsi="宋体" w:eastAsia="宋体" w:cs="Times New Roman"/>
          <w:b/>
          <w:bCs w:val="0"/>
          <w:sz w:val="21"/>
          <w:szCs w:val="21"/>
          <w:highlight w:val="none"/>
        </w:rPr>
        <w:t>.3 交流感性负载</w:t>
      </w:r>
    </w:p>
    <w:p w14:paraId="65F7D097">
      <w:pPr>
        <w:ind w:left="0" w:leftChars="0" w:firstLine="420" w:firstLineChars="200"/>
        <w:rPr>
          <w:rFonts w:hint="eastAsia" w:ascii="宋体" w:hAnsi="宋体" w:eastAsia="宋体" w:cs="Times New Roman"/>
          <w:sz w:val="21"/>
          <w:szCs w:val="21"/>
          <w:highlight w:val="none"/>
        </w:rPr>
      </w:pPr>
      <w:r>
        <w:rPr>
          <w:rFonts w:hint="eastAsia" w:ascii="Calibri" w:hAnsi="Calibri" w:eastAsia="宋体" w:cs="Times New Roman"/>
          <w:sz w:val="21"/>
          <w:szCs w:val="21"/>
          <w:highlight w:val="none"/>
          <w:lang w:val="en-US" w:eastAsia="zh-CN"/>
        </w:rPr>
        <w:t>1、★</w:t>
      </w: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1.3.1</w:t>
      </w:r>
      <w:r>
        <w:rPr>
          <w:rFonts w:hint="eastAsia" w:ascii="宋体" w:hAnsi="宋体" w:eastAsia="宋体" w:cs="Times New Roman"/>
          <w:sz w:val="21"/>
          <w:szCs w:val="21"/>
          <w:highlight w:val="none"/>
        </w:rPr>
        <w:t>整体负载有AC 115V/500A（270Hz～830Hz）交流感性负载：3路。</w:t>
      </w:r>
    </w:p>
    <w:p w14:paraId="0E381B82">
      <w:pPr>
        <w:spacing w:line="360" w:lineRule="exact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27644AEE">
      <w:pPr>
        <w:spacing w:line="360" w:lineRule="exact"/>
        <w:rPr>
          <w:rFonts w:ascii="宋体" w:hAnsi="宋体" w:eastAsia="宋体" w:cs="宋体"/>
          <w:b/>
          <w:bCs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技术支持资料：</w:t>
      </w:r>
    </w:p>
    <w:p w14:paraId="73FBFC4F">
      <w:pPr>
        <w:ind w:left="0" w:leftChars="0" w:firstLine="420" w:firstLineChars="200"/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</w:pPr>
    </w:p>
    <w:p w14:paraId="654287BA">
      <w:pPr>
        <w:ind w:left="0" w:leftChars="0" w:firstLine="420" w:firstLineChars="200"/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</w:pPr>
    </w:p>
    <w:p w14:paraId="2AE6C90E">
      <w:pPr>
        <w:ind w:left="0" w:leftChars="0" w:firstLine="420" w:firstLineChars="200"/>
        <w:rPr>
          <w:rFonts w:ascii="宋体" w:hAnsi="宋体" w:eastAsia="宋体" w:cs="Times New Roman"/>
          <w:sz w:val="21"/>
          <w:szCs w:val="21"/>
          <w:highlight w:val="none"/>
        </w:rPr>
      </w:pP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2、1.3.2</w:t>
      </w:r>
      <w:r>
        <w:rPr>
          <w:rFonts w:hint="eastAsia" w:ascii="宋体" w:hAnsi="宋体" w:eastAsia="宋体" w:cs="Times New Roman"/>
          <w:sz w:val="21"/>
          <w:szCs w:val="21"/>
          <w:highlight w:val="none"/>
        </w:rPr>
        <w:t>单路指标及要求</w:t>
      </w:r>
      <w:r>
        <w:rPr>
          <w:rFonts w:ascii="宋体" w:hAnsi="宋体" w:eastAsia="宋体" w:cs="Times New Roman"/>
          <w:sz w:val="21"/>
          <w:szCs w:val="21"/>
          <w:highlight w:val="none"/>
        </w:rPr>
        <w:t>如下：</w:t>
      </w:r>
    </w:p>
    <w:tbl>
      <w:tblPr>
        <w:tblStyle w:val="2"/>
        <w:tblpPr w:leftFromText="180" w:rightFromText="180" w:vertAnchor="text" w:tblpY="1"/>
        <w:tblOverlap w:val="never"/>
        <w:tblW w:w="8403" w:type="dxa"/>
        <w:tblInd w:w="2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3"/>
        <w:gridCol w:w="6630"/>
      </w:tblGrid>
      <w:tr w14:paraId="4ABA3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3" w:type="dxa"/>
            <w:gridSpan w:val="2"/>
            <w:noWrap w:val="0"/>
            <w:vAlign w:val="center"/>
          </w:tcPr>
          <w:p w14:paraId="52522ECE">
            <w:pPr>
              <w:spacing w:line="240" w:lineRule="auto"/>
              <w:ind w:left="420"/>
              <w:jc w:val="center"/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</w:pPr>
            <w:r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  <w:t>系统参数</w:t>
            </w:r>
          </w:p>
        </w:tc>
      </w:tr>
      <w:tr w14:paraId="78B12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773" w:type="dxa"/>
            <w:noWrap w:val="0"/>
            <w:vAlign w:val="center"/>
          </w:tcPr>
          <w:p w14:paraId="2F364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420" w:leftChars="0"/>
              <w:jc w:val="center"/>
              <w:textAlignment w:val="auto"/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功率因数</w:t>
            </w:r>
          </w:p>
        </w:tc>
        <w:tc>
          <w:tcPr>
            <w:tcW w:w="6630" w:type="dxa"/>
            <w:noWrap w:val="0"/>
            <w:vAlign w:val="center"/>
          </w:tcPr>
          <w:p w14:paraId="62116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42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★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cosφ=0.75～0.85(负载电流10A～500A之间)</w:t>
            </w:r>
          </w:p>
          <w:p w14:paraId="7099D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42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说明：</w:t>
            </w:r>
          </w:p>
          <w:p w14:paraId="46D67D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42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a感性负载为电阻与电感串联的方式。电阻与电感的组合方式应支持手动档位调节。系统应对档位选择的合理性进行验证，并发出提醒，避免电感过流超负荷运行。</w:t>
            </w:r>
          </w:p>
          <w:p w14:paraId="46EDB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420" w:leftChars="0"/>
              <w:jc w:val="left"/>
              <w:textAlignment w:val="auto"/>
              <w:rPr>
                <w:rFonts w:hint="eastAsia" w:ascii="Calibri" w:hAnsi="Calibri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b电感应采用宽频设计，任一电感在270Hz～830Hz下均可使用，只是体现的感抗不同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，每一相的电感数量不小于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11个。</w:t>
            </w:r>
          </w:p>
        </w:tc>
      </w:tr>
      <w:tr w14:paraId="0EF93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773" w:type="dxa"/>
            <w:noWrap w:val="0"/>
            <w:vAlign w:val="center"/>
          </w:tcPr>
          <w:p w14:paraId="65E1FEAD">
            <w:pPr>
              <w:spacing w:line="240" w:lineRule="auto"/>
              <w:ind w:left="420"/>
              <w:jc w:val="center"/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</w:pPr>
            <w:r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  <w:t>负载精度（每档）</w:t>
            </w:r>
          </w:p>
        </w:tc>
        <w:tc>
          <w:tcPr>
            <w:tcW w:w="6630" w:type="dxa"/>
            <w:noWrap w:val="0"/>
            <w:vAlign w:val="center"/>
          </w:tcPr>
          <w:p w14:paraId="64449C44">
            <w:pPr>
              <w:spacing w:line="240" w:lineRule="auto"/>
              <w:ind w:left="420"/>
              <w:jc w:val="center"/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1"/>
                <w:highlight w:val="none"/>
                <w:lang w:val="en-US" w:eastAsia="zh-CN"/>
              </w:rPr>
              <w:t>★</w:t>
            </w:r>
            <w:r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  <w:t>±5%；</w:t>
            </w:r>
          </w:p>
        </w:tc>
      </w:tr>
      <w:tr w14:paraId="2BC6A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773" w:type="dxa"/>
            <w:noWrap w:val="0"/>
            <w:vAlign w:val="center"/>
          </w:tcPr>
          <w:p w14:paraId="142AB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420" w:leftChars="0"/>
              <w:jc w:val="center"/>
              <w:textAlignment w:val="auto"/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工作温度</w:t>
            </w:r>
          </w:p>
        </w:tc>
        <w:tc>
          <w:tcPr>
            <w:tcW w:w="6630" w:type="dxa"/>
            <w:noWrap w:val="0"/>
            <w:vAlign w:val="center"/>
          </w:tcPr>
          <w:p w14:paraId="22F75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420" w:leftChars="0"/>
              <w:jc w:val="center"/>
              <w:textAlignment w:val="auto"/>
              <w:rPr>
                <w:rFonts w:hint="eastAsia" w:ascii="Calibri" w:hAnsi="Calibri" w:eastAsia="宋体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★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10℃～+50℃；</w:t>
            </w:r>
          </w:p>
        </w:tc>
      </w:tr>
      <w:tr w14:paraId="47DA2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3" w:type="dxa"/>
            <w:noWrap w:val="0"/>
            <w:vAlign w:val="center"/>
          </w:tcPr>
          <w:p w14:paraId="4518E32E">
            <w:pPr>
              <w:spacing w:line="240" w:lineRule="auto"/>
              <w:ind w:left="420"/>
              <w:jc w:val="center"/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</w:pPr>
            <w:r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  <w:t>工作噪音</w:t>
            </w:r>
          </w:p>
        </w:tc>
        <w:tc>
          <w:tcPr>
            <w:tcW w:w="6630" w:type="dxa"/>
            <w:noWrap w:val="0"/>
            <w:vAlign w:val="center"/>
          </w:tcPr>
          <w:p w14:paraId="4A9B49D7">
            <w:pPr>
              <w:spacing w:line="240" w:lineRule="auto"/>
              <w:ind w:left="420"/>
              <w:jc w:val="center"/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</w:pPr>
            <w:r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  <w:t>距离设备1米处:</w:t>
            </w:r>
            <w:r>
              <w:rPr>
                <w:rFonts w:hint="eastAsia" w:ascii="Calibri" w:hAnsi="Calibri" w:eastAsia="宋体" w:cs="Times New Roman"/>
                <w:sz w:val="21"/>
                <w:szCs w:val="21"/>
                <w:highlight w:val="none"/>
                <w:lang w:val="en-US" w:eastAsia="zh-CN"/>
              </w:rPr>
              <w:t>★</w:t>
            </w:r>
            <w:r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  <w:t>≤</w:t>
            </w:r>
            <w:r>
              <w:rPr>
                <w:rFonts w:hint="eastAsia" w:ascii="宋体" w:hAnsi="宋体" w:eastAsia="宋体" w:cs="Times New Roman"/>
                <w:sz w:val="21"/>
                <w:szCs w:val="21"/>
                <w:highlight w:val="none"/>
              </w:rPr>
              <w:t>70</w:t>
            </w:r>
            <w:r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  <w:t>dB；</w:t>
            </w:r>
          </w:p>
        </w:tc>
      </w:tr>
      <w:tr w14:paraId="1472F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3" w:type="dxa"/>
            <w:noWrap w:val="0"/>
            <w:vAlign w:val="center"/>
          </w:tcPr>
          <w:p w14:paraId="5B7AE1E9">
            <w:pPr>
              <w:spacing w:line="240" w:lineRule="auto"/>
              <w:ind w:left="420"/>
              <w:jc w:val="center"/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</w:pPr>
            <w:r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  <w:t>相对湿度</w:t>
            </w:r>
          </w:p>
        </w:tc>
        <w:tc>
          <w:tcPr>
            <w:tcW w:w="6630" w:type="dxa"/>
            <w:noWrap w:val="0"/>
            <w:vAlign w:val="center"/>
          </w:tcPr>
          <w:p w14:paraId="30259016">
            <w:pPr>
              <w:spacing w:line="240" w:lineRule="auto"/>
              <w:ind w:left="420"/>
              <w:jc w:val="center"/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1"/>
                <w:highlight w:val="none"/>
                <w:lang w:val="en-US" w:eastAsia="zh-CN"/>
              </w:rPr>
              <w:t>★</w:t>
            </w:r>
            <w:r>
              <w:rPr>
                <w:rFonts w:ascii="宋体" w:hAnsi="宋体" w:eastAsia="宋体" w:cs="Times New Roman"/>
                <w:sz w:val="21"/>
                <w:szCs w:val="21"/>
                <w:highlight w:val="none"/>
              </w:rPr>
              <w:t>≤95%；</w:t>
            </w:r>
          </w:p>
        </w:tc>
      </w:tr>
    </w:tbl>
    <w:p w14:paraId="46ECD7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211" w:firstLineChars="100"/>
        <w:textAlignment w:val="auto"/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  <w:lang w:val="en-US" w:eastAsia="zh-CN"/>
        </w:rPr>
      </w:pPr>
    </w:p>
    <w:p w14:paraId="00D0A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211" w:firstLineChars="100"/>
        <w:textAlignment w:val="auto"/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</w:pPr>
    </w:p>
    <w:p w14:paraId="530D4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211" w:firstLineChars="100"/>
        <w:textAlignment w:val="auto"/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</w:pPr>
    </w:p>
    <w:p w14:paraId="7C1C13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211" w:firstLineChars="100"/>
        <w:textAlignment w:val="auto"/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</w:pPr>
    </w:p>
    <w:p w14:paraId="12A8A9EA">
      <w:pPr>
        <w:spacing w:line="360" w:lineRule="exact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4634B161">
      <w:pPr>
        <w:spacing w:line="360" w:lineRule="exact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1782CC78">
      <w:pPr>
        <w:spacing w:line="360" w:lineRule="exact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0668BD22">
      <w:pPr>
        <w:spacing w:line="360" w:lineRule="exact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347E5FA2">
      <w:pPr>
        <w:spacing w:line="360" w:lineRule="exact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4F8B2DA8">
      <w:pPr>
        <w:spacing w:line="360" w:lineRule="exact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54946642">
      <w:pPr>
        <w:spacing w:line="360" w:lineRule="exact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3F6A2D80">
      <w:pPr>
        <w:spacing w:line="360" w:lineRule="exact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054F2844">
      <w:pPr>
        <w:spacing w:line="360" w:lineRule="exact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19E17483">
      <w:pPr>
        <w:spacing w:line="360" w:lineRule="exact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7769155A">
      <w:pPr>
        <w:spacing w:line="360" w:lineRule="exact"/>
        <w:rPr>
          <w:rFonts w:ascii="宋体" w:hAnsi="宋体" w:eastAsia="宋体" w:cs="宋体"/>
          <w:b/>
          <w:bCs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技术支持资料：</w:t>
      </w:r>
    </w:p>
    <w:p w14:paraId="1AA7C8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211" w:firstLineChars="100"/>
        <w:textAlignment w:val="auto"/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  <w:lang w:val="en-US" w:eastAsia="zh-CN"/>
        </w:rPr>
      </w:pPr>
    </w:p>
    <w:p w14:paraId="6FBFDB77">
      <w:pPr>
        <w:rPr>
          <w:rFonts w:hint="eastAsia" w:ascii="宋体" w:hAnsi="宋体" w:eastAsia="宋体" w:cs="宋体"/>
          <w:b/>
          <w:bCs w:val="0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1"/>
          <w:szCs w:val="21"/>
          <w:highlight w:val="none"/>
          <w:lang w:val="en-US" w:eastAsia="zh-CN"/>
        </w:rPr>
        <w:br w:type="page"/>
      </w:r>
    </w:p>
    <w:p w14:paraId="40FE1117">
      <w:pPr>
        <w:rPr>
          <w:rFonts w:hint="eastAsia" w:ascii="宋体" w:hAnsi="宋体" w:eastAsia="宋体" w:cs="宋体"/>
          <w:b/>
          <w:bCs w:val="0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1"/>
          <w:szCs w:val="21"/>
          <w:highlight w:val="none"/>
          <w:lang w:val="en-US" w:eastAsia="zh-CN"/>
        </w:rPr>
        <w:t>（七）1.5 测试系统-1.5.1测试系统参数信息的要求</w:t>
      </w:r>
    </w:p>
    <w:p w14:paraId="5D6C3A8D">
      <w:pPr>
        <w:rPr>
          <w:rFonts w:hint="eastAsia" w:ascii="宋体" w:hAnsi="宋体" w:eastAsia="宋体" w:cs="宋体"/>
          <w:b/>
          <w:bCs w:val="0"/>
          <w:color w:val="auto"/>
          <w:sz w:val="21"/>
          <w:szCs w:val="21"/>
          <w:highlight w:val="none"/>
          <w:lang w:val="en-US" w:eastAsia="zh-CN"/>
        </w:rPr>
      </w:pPr>
    </w:p>
    <w:p w14:paraId="73057E90">
      <w:pPr>
        <w:rPr>
          <w:rFonts w:hint="default" w:ascii="宋体" w:hAnsi="宋体" w:eastAsia="宋体" w:cs="宋体"/>
          <w:b/>
          <w:bCs w:val="0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1"/>
          <w:szCs w:val="21"/>
          <w:highlight w:val="none"/>
          <w:lang w:val="en-US" w:eastAsia="zh-CN"/>
        </w:rPr>
        <w:t>1、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★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a）监控仪：3路AC 115V主触点，8路28V辅助触点（每路常开或常闭，一般为一对，可选择常开或常闭）；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3套负载对应的试验工位可分别进行监测；</w:t>
      </w:r>
    </w:p>
    <w:p w14:paraId="46ABDA39">
      <w:pPr>
        <w:spacing w:line="360" w:lineRule="exact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6400E9FE">
      <w:pPr>
        <w:spacing w:line="360" w:lineRule="exact"/>
        <w:rPr>
          <w:rFonts w:ascii="宋体" w:hAnsi="宋体" w:eastAsia="宋体" w:cs="宋体"/>
          <w:b/>
          <w:bCs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技术支持资料：</w:t>
      </w:r>
    </w:p>
    <w:p w14:paraId="38E48AE2">
      <w:pPr>
        <w:rPr>
          <w:rFonts w:hint="eastAsia" w:ascii="宋体" w:hAnsi="宋体" w:eastAsia="宋体" w:cs="Times New Roman"/>
          <w:b/>
          <w:bCs w:val="0"/>
          <w:sz w:val="21"/>
          <w:szCs w:val="21"/>
          <w:highlight w:val="none"/>
        </w:rPr>
      </w:pPr>
    </w:p>
    <w:p w14:paraId="7373B5CE">
      <w:pPr>
        <w:widowControl w:val="0"/>
        <w:ind w:left="0" w:leftChars="0" w:firstLine="0" w:firstLineChars="0"/>
        <w:jc w:val="both"/>
        <w:rPr>
          <w:rFonts w:hint="eastAsia" w:ascii="Calibri" w:hAnsi="Calibri" w:eastAsia="黑体" w:cs="Times New Roman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黑体" w:cs="Times New Roman"/>
          <w:b/>
          <w:bCs w:val="0"/>
          <w:kern w:val="2"/>
          <w:sz w:val="21"/>
          <w:szCs w:val="21"/>
          <w:highlight w:val="none"/>
          <w:lang w:val="en-US" w:eastAsia="zh-CN" w:bidi="ar-SA"/>
        </w:rPr>
        <w:t>2、</w:t>
      </w:r>
      <w:r>
        <w:rPr>
          <w:rFonts w:hint="eastAsia" w:ascii="宋体" w:hAnsi="宋体" w:eastAsia="宋体" w:cs="宋体"/>
          <w:kern w:val="2"/>
          <w:sz w:val="21"/>
          <w:szCs w:val="21"/>
          <w:highlight w:val="none"/>
          <w:lang w:val="en-US" w:eastAsia="zh-CN" w:bidi="ar-SA"/>
        </w:rPr>
        <w:t>★m）监控功能：可设置为“启动”或“不启动”。在进行产品监测时，任意一路达到设置的故障次数后，系统可发出报警提示，并立即切断负载电流、去除触点电压，系统自动停机并保存故障数据和发生故障之前的试验数据（注：被测接触器的监测路数可任意选择）；</w:t>
      </w:r>
    </w:p>
    <w:p w14:paraId="725E67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</w:pPr>
    </w:p>
    <w:p w14:paraId="25004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 w:cs="宋体"/>
          <w:b/>
          <w:bCs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技术支持资料：</w:t>
      </w:r>
    </w:p>
    <w:p w14:paraId="1451C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211" w:firstLineChars="100"/>
        <w:textAlignment w:val="auto"/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  <w:lang w:val="en-US" w:eastAsia="zh-CN"/>
        </w:rPr>
      </w:pPr>
    </w:p>
    <w:p w14:paraId="0DBF1435">
      <w:pP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  <w:lang w:val="en-US" w:eastAsia="zh-CN"/>
        </w:rPr>
        <w:br w:type="page"/>
      </w:r>
    </w:p>
    <w:p w14:paraId="5CCB658D"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eastAsia" w:ascii="宋体" w:hAnsi="宋体" w:eastAsia="宋体" w:cs="宋体"/>
          <w:b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2E2B6E5E"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1"/>
          <w:szCs w:val="21"/>
          <w:highlight w:val="none"/>
          <w:lang w:val="en-US" w:eastAsia="zh-CN" w:bidi="ar-SA"/>
        </w:rPr>
        <w:t>（八）1.6 环境试验设备-</w:t>
      </w:r>
      <w:r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1.6.1 技术指标</w:t>
      </w:r>
    </w:p>
    <w:p w14:paraId="5EAEAD1A"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1、★b）温度范围：-70～+150℃，温度偏差±2.0℃（常压空载）；</w:t>
      </w:r>
    </w:p>
    <w:p w14:paraId="2B338C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ascii="宋体" w:hAnsi="宋体" w:eastAsia="宋体" w:cs="宋体"/>
          <w:b/>
          <w:bCs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技术支持资料：</w:t>
      </w:r>
    </w:p>
    <w:p w14:paraId="76E87269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snapToGrid w:val="0"/>
        <w:jc w:val="both"/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5BED3831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snapToGrid w:val="0"/>
        <w:jc w:val="both"/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7D72C691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snapToGrid w:val="0"/>
        <w:jc w:val="both"/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2、★c）温度波动度：±0.5℃（常压空载）；</w:t>
      </w:r>
    </w:p>
    <w:p w14:paraId="13B31F39">
      <w:pPr>
        <w:spacing w:line="360" w:lineRule="exact"/>
        <w:rPr>
          <w:rFonts w:ascii="宋体" w:hAnsi="宋体" w:eastAsia="宋体" w:cs="宋体"/>
          <w:b/>
          <w:bCs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技术支持资料：</w:t>
      </w:r>
    </w:p>
    <w:p w14:paraId="73E77779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snapToGrid w:val="0"/>
        <w:jc w:val="both"/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45D74C85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snapToGrid w:val="0"/>
        <w:jc w:val="both"/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322C7E1E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snapToGrid w:val="0"/>
        <w:jc w:val="both"/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3、★e）升温时间：20℃→150℃ ≤60min（带80kg负载）；</w:t>
      </w:r>
    </w:p>
    <w:p w14:paraId="5B2D3D8C">
      <w:pPr>
        <w:spacing w:line="360" w:lineRule="exact"/>
        <w:rPr>
          <w:rFonts w:ascii="宋体" w:hAnsi="宋体" w:eastAsia="宋体" w:cs="宋体"/>
          <w:b/>
          <w:bCs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技术支持资料：</w:t>
      </w:r>
    </w:p>
    <w:p w14:paraId="0D82F2D7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snapToGrid w:val="0"/>
        <w:jc w:val="both"/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2C08075E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snapToGrid w:val="0"/>
        <w:jc w:val="both"/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7292B8F0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snapToGrid w:val="0"/>
        <w:jc w:val="both"/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1"/>
          <w:szCs w:val="21"/>
          <w:highlight w:val="none"/>
          <w:lang w:val="en-US" w:eastAsia="zh-CN" w:bidi="ar-SA"/>
        </w:rPr>
        <w:t>4、★f）降温时间：20℃→-60℃ ≤80min（带80kg负载）；</w:t>
      </w:r>
    </w:p>
    <w:p w14:paraId="3E1BC131">
      <w:pPr>
        <w:spacing w:line="360" w:lineRule="exact"/>
        <w:rPr>
          <w:rFonts w:ascii="宋体" w:hAnsi="宋体" w:eastAsia="宋体" w:cs="宋体"/>
          <w:b/>
          <w:bCs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技术支持资料：</w:t>
      </w:r>
    </w:p>
    <w:p w14:paraId="0A889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211" w:firstLineChars="100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</w:pPr>
    </w:p>
    <w:p w14:paraId="123C34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5、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★k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）设备总装机功率：≤40kW</w:t>
      </w:r>
    </w:p>
    <w:p w14:paraId="2783495E">
      <w:pPr>
        <w:spacing w:line="360" w:lineRule="exact"/>
        <w:rPr>
          <w:rFonts w:ascii="宋体" w:hAnsi="宋体" w:eastAsia="宋体" w:cs="宋体"/>
          <w:b/>
          <w:bCs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highlight w:val="none"/>
        </w:rPr>
        <w:t>技术支持资料：</w:t>
      </w:r>
    </w:p>
    <w:p w14:paraId="33966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211" w:firstLineChars="100"/>
        <w:textAlignment w:val="auto"/>
        <w:rPr>
          <w:rFonts w:ascii="宋体" w:hAnsi="宋体" w:eastAsia="宋体" w:cs="宋体"/>
          <w:b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……</w:t>
      </w:r>
    </w:p>
    <w:p w14:paraId="138FA2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ascii="宋体" w:hAnsi="宋体" w:eastAsia="宋体" w:cs="宋体"/>
          <w:b/>
          <w:color w:val="auto"/>
          <w:szCs w:val="21"/>
          <w:highlight w:val="none"/>
        </w:rPr>
      </w:pPr>
    </w:p>
    <w:p w14:paraId="42606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2" w:firstLineChars="200"/>
        <w:textAlignment w:val="auto"/>
        <w:rPr>
          <w:rFonts w:ascii="宋体" w:hAnsi="宋体" w:eastAsia="宋体" w:cs="宋体"/>
          <w:b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（如有遗漏，投标人自行补充，如列举的技术要求与“第五章  供货要求”中技术要求不一致，以“第五章  供货要求”中技术要求为准）</w:t>
      </w:r>
    </w:p>
    <w:p w14:paraId="76C24424">
      <w:pPr>
        <w:pageBreakBefore w:val="0"/>
        <w:kinsoku/>
        <w:overflowPunct/>
        <w:bidi w:val="0"/>
        <w:spacing w:line="360" w:lineRule="auto"/>
        <w:textAlignment w:val="auto"/>
        <w:rPr>
          <w:rFonts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</w:rPr>
        <w:br w:type="page"/>
      </w:r>
    </w:p>
    <w:p w14:paraId="03D11BBF">
      <w:pPr>
        <w:keepNext/>
        <w:keepLines/>
        <w:pageBreakBefore w:val="0"/>
        <w:widowControl w:val="0"/>
        <w:kinsoku/>
        <w:overflowPunct/>
        <w:bidi w:val="0"/>
        <w:spacing w:line="360" w:lineRule="auto"/>
        <w:jc w:val="center"/>
        <w:textAlignment w:val="auto"/>
        <w:outlineLvl w:val="1"/>
        <w:rPr>
          <w:rFonts w:ascii="宋体" w:hAnsi="宋体" w:eastAsia="宋体" w:cs="宋体"/>
          <w:b/>
          <w:bCs/>
          <w:color w:val="auto"/>
          <w:kern w:val="2"/>
          <w:sz w:val="32"/>
          <w:szCs w:val="21"/>
          <w:highlight w:val="none"/>
          <w:lang w:val="en-US" w:eastAsia="zh-CN" w:bidi="ar-SA"/>
        </w:rPr>
      </w:pPr>
      <w:bookmarkStart w:id="4" w:name="_Toc13057404"/>
      <w:bookmarkStart w:id="5" w:name="_Toc501460802"/>
      <w:r>
        <w:rPr>
          <w:rFonts w:hint="eastAsia" w:ascii="宋体" w:hAnsi="宋体" w:eastAsia="宋体" w:cs="宋体"/>
          <w:b/>
          <w:color w:val="auto"/>
          <w:kern w:val="2"/>
          <w:sz w:val="32"/>
          <w:szCs w:val="24"/>
          <w:highlight w:val="none"/>
          <w:lang w:val="en-US" w:eastAsia="zh-CN" w:bidi="ar-SA"/>
        </w:rPr>
        <w:t>十一、技术方案</w:t>
      </w:r>
    </w:p>
    <w:p w14:paraId="3EF50309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ind w:firstLine="420" w:firstLineChars="200"/>
        <w:jc w:val="left"/>
        <w:textAlignment w:val="auto"/>
        <w:rPr>
          <w:rFonts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1、设计方案；</w:t>
      </w:r>
    </w:p>
    <w:p w14:paraId="1F605EF2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ind w:firstLine="420" w:firstLineChars="200"/>
        <w:jc w:val="left"/>
        <w:textAlignment w:val="auto"/>
        <w:rPr>
          <w:rFonts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2、实施方案；</w:t>
      </w:r>
    </w:p>
    <w:p w14:paraId="3CA6D38C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ind w:firstLine="420" w:firstLineChars="200"/>
        <w:jc w:val="left"/>
        <w:textAlignment w:val="auto"/>
        <w:rPr>
          <w:rFonts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3、115V/1800kVA综合试验平台设备技术能力。</w:t>
      </w:r>
    </w:p>
    <w:p w14:paraId="6D039171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ind w:firstLine="420" w:firstLineChars="200"/>
        <w:jc w:val="left"/>
        <w:textAlignment w:val="auto"/>
        <w:rPr>
          <w:rFonts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...</w:t>
      </w:r>
    </w:p>
    <w:p w14:paraId="2E4B6C06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ind w:firstLine="420" w:firstLineChars="200"/>
        <w:jc w:val="both"/>
        <w:textAlignment w:val="auto"/>
        <w:rPr>
          <w:rFonts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3D912538">
      <w:pPr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tabs>
          <w:tab w:val="center" w:pos="4153"/>
          <w:tab w:val="right" w:pos="8306"/>
        </w:tabs>
        <w:kinsoku/>
        <w:overflowPunct/>
        <w:bidi w:val="0"/>
        <w:snapToGrid w:val="0"/>
        <w:spacing w:line="360" w:lineRule="auto"/>
        <w:ind w:firstLine="420" w:firstLineChars="200"/>
        <w:jc w:val="both"/>
        <w:textAlignment w:val="auto"/>
        <w:rPr>
          <w:rFonts w:ascii="宋体" w:hAnsi="宋体" w:eastAsia="宋体" w:cs="宋体"/>
          <w:color w:val="auto"/>
          <w:kern w:val="2"/>
          <w:sz w:val="18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  <w:t>投标人需自拟格式编写</w:t>
      </w:r>
    </w:p>
    <w:p w14:paraId="4AF15844">
      <w:pPr>
        <w:pageBreakBefore w:val="0"/>
        <w:kinsoku/>
        <w:overflowPunct/>
        <w:bidi w:val="0"/>
        <w:spacing w:line="360" w:lineRule="auto"/>
        <w:jc w:val="center"/>
        <w:textAlignment w:val="auto"/>
        <w:rPr>
          <w:rFonts w:ascii="宋体" w:hAnsi="宋体" w:eastAsia="宋体" w:cs="宋体"/>
          <w:color w:val="auto"/>
          <w:highlight w:val="none"/>
        </w:rPr>
      </w:pPr>
    </w:p>
    <w:p w14:paraId="065E3B29">
      <w:pPr>
        <w:pageBreakBefore w:val="0"/>
        <w:kinsoku/>
        <w:overflowPunct/>
        <w:bidi w:val="0"/>
        <w:spacing w:line="360" w:lineRule="auto"/>
        <w:jc w:val="center"/>
        <w:textAlignment w:val="auto"/>
        <w:rPr>
          <w:rFonts w:ascii="宋体" w:hAnsi="宋体" w:eastAsia="宋体" w:cs="宋体"/>
          <w:color w:val="auto"/>
          <w:highlight w:val="none"/>
        </w:rPr>
      </w:pPr>
    </w:p>
    <w:p w14:paraId="78A34F3C">
      <w:pPr>
        <w:pageBreakBefore w:val="0"/>
        <w:kinsoku/>
        <w:overflowPunct/>
        <w:bidi w:val="0"/>
        <w:spacing w:line="360" w:lineRule="auto"/>
        <w:jc w:val="center"/>
        <w:textAlignment w:val="auto"/>
        <w:rPr>
          <w:rFonts w:ascii="宋体" w:hAnsi="宋体" w:eastAsia="宋体" w:cs="宋体"/>
          <w:color w:val="auto"/>
          <w:highlight w:val="none"/>
        </w:rPr>
      </w:pPr>
    </w:p>
    <w:p w14:paraId="2E58C727">
      <w:pPr>
        <w:pageBreakBefore w:val="0"/>
        <w:kinsoku/>
        <w:overflowPunct/>
        <w:bidi w:val="0"/>
        <w:spacing w:line="360" w:lineRule="auto"/>
        <w:jc w:val="center"/>
        <w:textAlignment w:val="auto"/>
        <w:rPr>
          <w:rFonts w:ascii="宋体" w:hAnsi="宋体" w:eastAsia="宋体" w:cs="宋体"/>
          <w:color w:val="auto"/>
          <w:highlight w:val="none"/>
        </w:rPr>
      </w:pPr>
    </w:p>
    <w:p w14:paraId="70E341D9">
      <w:pPr>
        <w:pageBreakBefore w:val="0"/>
        <w:kinsoku/>
        <w:overflowPunct/>
        <w:bidi w:val="0"/>
        <w:spacing w:line="360" w:lineRule="auto"/>
        <w:jc w:val="center"/>
        <w:textAlignment w:val="auto"/>
        <w:rPr>
          <w:rFonts w:ascii="宋体" w:hAnsi="宋体" w:eastAsia="宋体" w:cs="宋体"/>
          <w:color w:val="auto"/>
          <w:highlight w:val="none"/>
        </w:rPr>
      </w:pPr>
    </w:p>
    <w:p w14:paraId="682B9DD7">
      <w:pPr>
        <w:pageBreakBefore w:val="0"/>
        <w:kinsoku/>
        <w:overflowPunct/>
        <w:bidi w:val="0"/>
        <w:spacing w:line="360" w:lineRule="auto"/>
        <w:jc w:val="center"/>
        <w:textAlignment w:val="auto"/>
        <w:rPr>
          <w:rFonts w:ascii="宋体" w:hAnsi="宋体" w:eastAsia="宋体" w:cs="宋体"/>
          <w:color w:val="auto"/>
          <w:highlight w:val="none"/>
        </w:rPr>
      </w:pPr>
    </w:p>
    <w:p w14:paraId="56C63D13">
      <w:pPr>
        <w:pageBreakBefore w:val="0"/>
        <w:kinsoku/>
        <w:overflowPunct/>
        <w:bidi w:val="0"/>
        <w:spacing w:line="360" w:lineRule="auto"/>
        <w:jc w:val="center"/>
        <w:textAlignment w:val="auto"/>
        <w:rPr>
          <w:rFonts w:ascii="宋体" w:hAnsi="宋体" w:eastAsia="宋体" w:cs="宋体"/>
          <w:color w:val="auto"/>
          <w:highlight w:val="none"/>
        </w:rPr>
      </w:pPr>
    </w:p>
    <w:p w14:paraId="3574DB3C">
      <w:pPr>
        <w:pageBreakBefore w:val="0"/>
        <w:kinsoku/>
        <w:overflowPunct/>
        <w:bidi w:val="0"/>
        <w:spacing w:line="360" w:lineRule="auto"/>
        <w:jc w:val="center"/>
        <w:textAlignment w:val="auto"/>
        <w:rPr>
          <w:rFonts w:ascii="宋体" w:hAnsi="宋体" w:eastAsia="宋体" w:cs="宋体"/>
          <w:color w:val="auto"/>
          <w:highlight w:val="none"/>
        </w:rPr>
      </w:pPr>
    </w:p>
    <w:p w14:paraId="11A733FB">
      <w:pPr>
        <w:pageBreakBefore w:val="0"/>
        <w:kinsoku/>
        <w:overflowPunct/>
        <w:bidi w:val="0"/>
        <w:spacing w:line="360" w:lineRule="auto"/>
        <w:jc w:val="center"/>
        <w:textAlignment w:val="auto"/>
        <w:rPr>
          <w:rFonts w:ascii="宋体" w:hAnsi="宋体" w:eastAsia="宋体" w:cs="宋体"/>
          <w:color w:val="auto"/>
          <w:highlight w:val="none"/>
        </w:rPr>
      </w:pPr>
    </w:p>
    <w:p w14:paraId="4DDE3089">
      <w:pPr>
        <w:pageBreakBefore w:val="0"/>
        <w:kinsoku/>
        <w:overflowPunct/>
        <w:bidi w:val="0"/>
        <w:spacing w:line="360" w:lineRule="auto"/>
        <w:jc w:val="center"/>
        <w:textAlignment w:val="auto"/>
        <w:rPr>
          <w:rFonts w:ascii="宋体" w:hAnsi="宋体" w:eastAsia="宋体" w:cs="宋体"/>
          <w:color w:val="auto"/>
          <w:highlight w:val="none"/>
        </w:rPr>
      </w:pPr>
    </w:p>
    <w:p w14:paraId="78985B01">
      <w:pPr>
        <w:pageBreakBefore w:val="0"/>
        <w:kinsoku/>
        <w:overflowPunct/>
        <w:bidi w:val="0"/>
        <w:spacing w:line="360" w:lineRule="auto"/>
        <w:jc w:val="center"/>
        <w:textAlignment w:val="auto"/>
        <w:rPr>
          <w:rFonts w:ascii="宋体" w:hAnsi="宋体" w:eastAsia="宋体" w:cs="宋体"/>
          <w:color w:val="auto"/>
          <w:highlight w:val="none"/>
        </w:rPr>
      </w:pPr>
    </w:p>
    <w:p w14:paraId="5C576ACF">
      <w:pPr>
        <w:pageBreakBefore w:val="0"/>
        <w:kinsoku/>
        <w:overflowPunct/>
        <w:bidi w:val="0"/>
        <w:spacing w:line="360" w:lineRule="auto"/>
        <w:jc w:val="center"/>
        <w:textAlignment w:val="auto"/>
        <w:rPr>
          <w:rFonts w:ascii="宋体" w:hAnsi="宋体" w:eastAsia="宋体" w:cs="宋体"/>
          <w:color w:val="auto"/>
          <w:highlight w:val="none"/>
        </w:rPr>
      </w:pPr>
    </w:p>
    <w:p w14:paraId="209FA91A">
      <w:pPr>
        <w:pageBreakBefore w:val="0"/>
        <w:kinsoku/>
        <w:overflowPunct/>
        <w:bidi w:val="0"/>
        <w:spacing w:line="360" w:lineRule="auto"/>
        <w:jc w:val="center"/>
        <w:textAlignment w:val="auto"/>
        <w:rPr>
          <w:rFonts w:ascii="宋体" w:hAnsi="宋体" w:eastAsia="宋体" w:cs="宋体"/>
          <w:color w:val="auto"/>
          <w:highlight w:val="none"/>
        </w:rPr>
      </w:pPr>
    </w:p>
    <w:p w14:paraId="11ADCDAF">
      <w:pPr>
        <w:pageBreakBefore w:val="0"/>
        <w:kinsoku/>
        <w:overflowPunct/>
        <w:bidi w:val="0"/>
        <w:spacing w:line="360" w:lineRule="auto"/>
        <w:textAlignment w:val="auto"/>
        <w:rPr>
          <w:rFonts w:ascii="宋体" w:hAnsi="宋体" w:eastAsia="宋体" w:cs="宋体"/>
          <w:color w:val="auto"/>
          <w:highlight w:val="none"/>
        </w:rPr>
      </w:pPr>
    </w:p>
    <w:p w14:paraId="06E0087B">
      <w:pPr>
        <w:pageBreakBefore w:val="0"/>
        <w:widowControl w:val="0"/>
        <w:kinsoku/>
        <w:overflowPunct/>
        <w:bidi w:val="0"/>
        <w:spacing w:line="360" w:lineRule="auto"/>
        <w:ind w:left="0" w:leftChars="0"/>
        <w:jc w:val="center"/>
        <w:textAlignment w:val="auto"/>
        <w:outlineLvl w:val="1"/>
        <w:rPr>
          <w:rFonts w:ascii="宋体" w:hAnsi="宋体" w:eastAsia="宋体" w:cs="宋体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十二、相关服务计划</w:t>
      </w:r>
    </w:p>
    <w:bookmarkEnd w:id="4"/>
    <w:bookmarkEnd w:id="5"/>
    <w:p w14:paraId="60E6A6ED">
      <w:pPr>
        <w:pageBreakBefore w:val="0"/>
        <w:kinsoku/>
        <w:overflowPunct/>
        <w:bidi w:val="0"/>
        <w:snapToGrid w:val="0"/>
        <w:spacing w:line="360" w:lineRule="auto"/>
        <w:jc w:val="center"/>
        <w:textAlignment w:val="auto"/>
        <w:rPr>
          <w:rFonts w:ascii="宋体" w:hAnsi="宋体" w:eastAsia="宋体" w:cs="宋体"/>
          <w:b/>
          <w:color w:val="auto"/>
          <w:sz w:val="32"/>
          <w:szCs w:val="20"/>
          <w:highlight w:val="none"/>
        </w:rPr>
      </w:pPr>
    </w:p>
    <w:p w14:paraId="6CA95037">
      <w:r>
        <w:rPr>
          <w:rFonts w:hint="eastAsia" w:ascii="宋体" w:hAnsi="宋体" w:eastAsia="宋体" w:cs="宋体"/>
          <w:b/>
          <w:color w:val="auto"/>
          <w:sz w:val="32"/>
          <w:szCs w:val="20"/>
          <w:highlight w:val="none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3E676C"/>
    <w:rsid w:val="2E3E6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2025-09-18T08:37:00Z</dcterms:created>
  <dc:creator>无为</dc:creator>
  <cp:lastModifiedBy>无为</cp:lastModifiedBy>
  <dcterms:modified xsi:type="dcterms:W3CDTF">2025-09-18T08:38:15Z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5557CA4FF47343138AC6930F13C285FD_11</vt:lpwstr>
  </property>
  <property fmtid="{D5CDD505-2E9C-101B-9397-08002B2CF9AE}" pid="4" name="KSOTemplateDocerSaveRecord">
    <vt:lpwstr>eyJoZGlkIjoiMzY1NjYwY2JlY2U0YjVmMWIyNGY1NDBhNDAwNGM3ZTUiLCJ1c2VySWQiOiIzMzAxMjgyOTYifQ==</vt:lpwstr>
  </property>
</Properties>
</file>